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329569">
      <w:pPr>
        <w:spacing w:line="420" w:lineRule="exact"/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第3章 物质在水溶液中的行为</w:t>
      </w:r>
    </w:p>
    <w:p w14:paraId="109AC1A0">
      <w:pPr>
        <w:spacing w:line="420" w:lineRule="exact"/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第3节 沉淀溶解平衡</w:t>
      </w:r>
    </w:p>
    <w:p w14:paraId="1C02E0DB">
      <w:pPr>
        <w:spacing w:line="420" w:lineRule="exact"/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课时1淀溶解平衡及其应用</w:t>
      </w:r>
    </w:p>
    <w:p w14:paraId="35790135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7E302B50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一</w:t>
      </w:r>
      <w:r>
        <w:rPr>
          <w:rFonts w:hint="eastAsia" w:ascii="Times New Roman" w:hAnsi="Times New Roman" w:eastAsia="宋体" w:cs="Times New Roman"/>
          <w:b/>
          <w:bCs/>
          <w:sz w:val="22"/>
        </w:rPr>
        <w:t>、</w:t>
      </w:r>
      <w:r>
        <w:rPr>
          <w:rFonts w:ascii="Times New Roman" w:hAnsi="Times New Roman" w:eastAsia="宋体" w:cs="Times New Roman"/>
          <w:b/>
          <w:bCs/>
          <w:sz w:val="22"/>
        </w:rPr>
        <w:t>沉淀溶解平衡</w:t>
      </w:r>
    </w:p>
    <w:p w14:paraId="18FA8CD5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1．含义：在一定温度下，当</w:t>
      </w:r>
      <w:r>
        <w:rPr>
          <w:rFonts w:ascii="Times New Roman" w:hAnsi="Times New Roman" w:eastAsia="宋体" w:cs="Times New Roman"/>
          <w:color w:val="91ABDF"/>
          <w:szCs w:val="21"/>
          <w:u w:val="thick"/>
        </w:rPr>
        <w:t>沉淀</w:t>
      </w:r>
      <w:r>
        <w:rPr>
          <w:rFonts w:ascii="Times New Roman" w:hAnsi="Times New Roman" w:eastAsia="宋体" w:cs="Times New Roman"/>
          <w:szCs w:val="21"/>
        </w:rPr>
        <w:t>和</w:t>
      </w:r>
      <w:r>
        <w:rPr>
          <w:rFonts w:ascii="Times New Roman" w:hAnsi="Times New Roman" w:eastAsia="宋体" w:cs="Times New Roman"/>
          <w:color w:val="91ABDF"/>
          <w:szCs w:val="21"/>
          <w:u w:val="thick"/>
        </w:rPr>
        <w:t>溶解</w:t>
      </w:r>
      <w:r>
        <w:rPr>
          <w:rFonts w:ascii="Times New Roman" w:hAnsi="Times New Roman" w:eastAsia="宋体" w:cs="Times New Roman"/>
          <w:szCs w:val="21"/>
        </w:rPr>
        <w:t>速率相等时所达到的平衡状态，称为沉淀溶解平衡。</w:t>
      </w:r>
    </w:p>
    <w:p w14:paraId="5EF98917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2．建立：</w:t>
      </w:r>
    </w:p>
    <w:p w14:paraId="260D1CA9">
      <w:pPr>
        <w:tabs>
          <w:tab w:val="left" w:pos="4305"/>
        </w:tabs>
        <w:adjustRightInd w:val="0"/>
        <w:snapToGrid w:val="0"/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114300" distR="114300">
            <wp:extent cx="1661795" cy="1142365"/>
            <wp:effectExtent l="0" t="0" r="14605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1795" cy="114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11490C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pict>
          <v:line id="直接连接符 40" o:spid="_x0000_s2055" o:spt="20" style="position:absolute;left:0pt;margin-left:150.6pt;margin-top:33.45pt;height:0pt;width:161pt;z-index:251662336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">
            <v:path arrowok="t"/>
            <v:fill focussize="0,0"/>
            <v:stroke weight="1pt" color="#4874CB" joinstyle="miter"/>
            <v:imagedata o:title=""/>
            <o:lock v:ext="edit"/>
          </v:line>
        </w:pict>
      </w:r>
      <w:r>
        <w:rPr>
          <w:rFonts w:ascii="Times New Roman" w:hAnsi="Times New Roman" w:eastAsia="宋体" w:cs="Times New Roman"/>
          <w:szCs w:val="21"/>
        </w:rPr>
        <w:t>以AgCl溶解平衡为例，表达式：</w:t>
      </w:r>
      <w:r>
        <w:rPr>
          <w:rFonts w:ascii="Times New Roman" w:hAnsi="Times New Roman" w:eastAsia="宋体" w:cs="Times New Roman"/>
          <w:color w:val="91ABDF"/>
          <w:szCs w:val="21"/>
        </w:rPr>
        <w:t>AgCl(s)</w:t>
      </w:r>
      <w:r>
        <w:rPr>
          <w:rFonts w:ascii="Times New Roman" w:hAnsi="Times New Roman" w:eastAsia="宋体" w:cs="Times New Roman"/>
          <w:color w:val="91ABDF"/>
          <w:szCs w:val="21"/>
        </w:rPr>
        <w:fldChar w:fldCharType="begin"/>
      </w:r>
      <w:r>
        <w:rPr>
          <w:rFonts w:ascii="Times New Roman" w:hAnsi="Times New Roman" w:eastAsia="宋体" w:cs="Times New Roman"/>
          <w:color w:val="91ABDF"/>
          <w:szCs w:val="21"/>
        </w:rPr>
        <w:instrText xml:space="preserve">eq \o(,\s\up11(溶解),\s\do4(沉淀))</w:instrText>
      </w:r>
      <w:r>
        <w:rPr>
          <w:rFonts w:ascii="Times New Roman" w:hAnsi="Times New Roman" w:eastAsia="宋体" w:cs="Times New Roman"/>
          <w:color w:val="91ABDF"/>
          <w:szCs w:val="21"/>
        </w:rPr>
        <w:fldChar w:fldCharType="end"/>
      </w:r>
      <w:r>
        <w:rPr>
          <w:rFonts w:ascii="Times New Roman" w:hAnsi="Times New Roman" w:eastAsia="宋体" w:cs="Times New Roman"/>
          <w:color w:val="91ABDF"/>
          <w:szCs w:val="21"/>
        </w:rPr>
        <w:t>Ag</w:t>
      </w:r>
      <w:r>
        <w:rPr>
          <w:rFonts w:ascii="Times New Roman" w:hAnsi="Times New Roman" w:eastAsia="宋体" w:cs="Times New Roman"/>
          <w:color w:val="91ABDF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color w:val="91ABDF"/>
          <w:szCs w:val="21"/>
        </w:rPr>
        <w:t>(aq)＋Cl</w:t>
      </w:r>
      <w:r>
        <w:rPr>
          <w:rFonts w:ascii="Times New Roman" w:hAnsi="Times New Roman" w:eastAsia="宋体" w:cs="Times New Roman"/>
          <w:color w:val="91ABDF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color w:val="91ABDF"/>
          <w:szCs w:val="21"/>
        </w:rPr>
        <w:t>(aq)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122C4068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3．特征：</w:t>
      </w:r>
    </w:p>
    <w:p w14:paraId="46AF909A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\x(动)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—动态平衡，溶解的速率和沉淀的速率</w:t>
      </w:r>
      <w:r>
        <w:rPr>
          <w:rFonts w:ascii="Times New Roman" w:hAnsi="Times New Roman" w:eastAsia="宋体" w:cs="Times New Roman"/>
          <w:color w:val="91ABDF"/>
          <w:szCs w:val="21"/>
          <w:u w:val="thick"/>
        </w:rPr>
        <w:t>不等于0</w:t>
      </w:r>
    </w:p>
    <w:p w14:paraId="584B2DF9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color w:val="91ABDF"/>
          <w:szCs w:val="21"/>
          <w:u w:val="thick"/>
        </w:rPr>
      </w:pP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\x(等)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—溶解速率和沉淀速率</w:t>
      </w:r>
      <w:r>
        <w:rPr>
          <w:rFonts w:ascii="Times New Roman" w:hAnsi="Times New Roman" w:eastAsia="宋体" w:cs="Times New Roman"/>
          <w:color w:val="91ABDF"/>
          <w:szCs w:val="21"/>
          <w:u w:val="thick"/>
        </w:rPr>
        <w:t>相等</w:t>
      </w:r>
    </w:p>
    <w:p w14:paraId="572F94FA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color w:val="91ABDF"/>
          <w:szCs w:val="21"/>
          <w:u w:val="thick"/>
        </w:rPr>
      </w:pP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\x(定)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—达到平衡时，固体质量、溶液中离子的浓度</w:t>
      </w:r>
      <w:r>
        <w:rPr>
          <w:rFonts w:ascii="Times New Roman" w:hAnsi="Times New Roman" w:eastAsia="宋体" w:cs="Times New Roman"/>
          <w:color w:val="91ABDF"/>
          <w:szCs w:val="21"/>
          <w:u w:val="thick"/>
        </w:rPr>
        <w:t>保持恒定</w:t>
      </w:r>
    </w:p>
    <w:p w14:paraId="57732DC2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\x(变)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—</w:t>
      </w:r>
      <w:r>
        <w:rPr>
          <w:rFonts w:hint="eastAsia" w:ascii="Times New Roman" w:hAnsi="Times New Roman" w:eastAsia="宋体" w:cs="Times New Roman"/>
          <w:szCs w:val="21"/>
        </w:rPr>
        <w:t>当改变外界条件时，溶解平衡将</w:t>
      </w:r>
      <w:r>
        <w:rPr>
          <w:rFonts w:hint="eastAsia" w:ascii="Times New Roman" w:hAnsi="Times New Roman" w:eastAsia="宋体" w:cs="Times New Roman"/>
          <w:color w:val="91ABDF"/>
          <w:szCs w:val="21"/>
          <w:u w:val="thick"/>
        </w:rPr>
        <w:t>发生移动</w:t>
      </w:r>
      <w:r>
        <w:rPr>
          <w:rFonts w:hint="eastAsia" w:ascii="Times New Roman" w:hAnsi="Times New Roman" w:eastAsia="宋体" w:cs="Times New Roman"/>
          <w:szCs w:val="21"/>
        </w:rPr>
        <w:t>，达到新的平衡</w:t>
      </w:r>
    </w:p>
    <w:p w14:paraId="78AF5DBD">
      <w:pPr>
        <w:tabs>
          <w:tab w:val="left" w:pos="4140"/>
          <w:tab w:val="left" w:pos="7560"/>
          <w:tab w:val="left" w:pos="1530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4．沉淀溶解平衡的移动</w:t>
      </w:r>
    </w:p>
    <w:p w14:paraId="7AAC1BEF">
      <w:pPr>
        <w:tabs>
          <w:tab w:val="left" w:pos="4140"/>
          <w:tab w:val="left" w:pos="7560"/>
          <w:tab w:val="left" w:pos="15300"/>
        </w:tabs>
        <w:adjustRightInd w:val="0"/>
        <w:snapToGrid w:val="0"/>
        <w:spacing w:line="360" w:lineRule="auto"/>
        <w:textAlignment w:val="center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固体物质</w:t>
      </w:r>
      <w:r>
        <w:rPr>
          <w:rFonts w:ascii="Times New Roman" w:hAnsi="Times New Roman" w:eastAsia="宋体" w:cs="Times New Roman"/>
          <w:bCs/>
          <w:szCs w:val="21"/>
        </w:rPr>
        <w:drawing>
          <wp:inline distT="0" distB="0" distL="114300" distR="114300">
            <wp:extent cx="281305" cy="312420"/>
            <wp:effectExtent l="0" t="0" r="4445" b="11430"/>
            <wp:docPr id="3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1305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bCs/>
          <w:szCs w:val="21"/>
        </w:rPr>
        <w:t>溶液中的溶质</w:t>
      </w:r>
    </w:p>
    <w:p w14:paraId="37B89ED4">
      <w:pPr>
        <w:tabs>
          <w:tab w:val="left" w:pos="4140"/>
          <w:tab w:val="left" w:pos="7560"/>
          <w:tab w:val="left" w:pos="1530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固体物质的溶解是可逆过程：(1)v</w:t>
      </w:r>
      <w:r>
        <w:rPr>
          <w:rFonts w:ascii="Times New Roman" w:hAnsi="Times New Roman" w:eastAsia="宋体" w:cs="Times New Roman"/>
          <w:bCs/>
          <w:szCs w:val="21"/>
          <w:vertAlign w:val="subscript"/>
        </w:rPr>
        <w:t>溶解</w:t>
      </w:r>
      <w:r>
        <w:rPr>
          <w:rFonts w:ascii="Times New Roman" w:hAnsi="Times New Roman" w:eastAsia="宋体" w:cs="Times New Roman"/>
          <w:bCs/>
          <w:szCs w:val="21"/>
        </w:rPr>
        <w:t>&gt;v</w:t>
      </w:r>
      <w:r>
        <w:rPr>
          <w:rFonts w:ascii="Times New Roman" w:hAnsi="Times New Roman" w:eastAsia="宋体" w:cs="Times New Roman"/>
          <w:bCs/>
          <w:szCs w:val="21"/>
          <w:vertAlign w:val="subscript"/>
        </w:rPr>
        <w:t>沉淀</w:t>
      </w:r>
      <w:r>
        <w:rPr>
          <w:rFonts w:ascii="Times New Roman" w:hAnsi="Times New Roman" w:eastAsia="宋体" w:cs="Times New Roman"/>
          <w:bCs/>
          <w:szCs w:val="21"/>
        </w:rPr>
        <w:t>　固体溶解</w:t>
      </w:r>
    </w:p>
    <w:p w14:paraId="40B2005C">
      <w:pPr>
        <w:tabs>
          <w:tab w:val="left" w:pos="4140"/>
          <w:tab w:val="left" w:pos="7560"/>
          <w:tab w:val="left" w:pos="1530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(2)v</w:t>
      </w:r>
      <w:r>
        <w:rPr>
          <w:rFonts w:ascii="Times New Roman" w:hAnsi="Times New Roman" w:eastAsia="宋体" w:cs="Times New Roman"/>
          <w:bCs/>
          <w:szCs w:val="21"/>
          <w:vertAlign w:val="subscript"/>
        </w:rPr>
        <w:t>溶解</w:t>
      </w:r>
      <w:r>
        <w:rPr>
          <w:rFonts w:ascii="Times New Roman" w:hAnsi="Times New Roman" w:eastAsia="宋体" w:cs="Times New Roman"/>
          <w:bCs/>
          <w:szCs w:val="21"/>
        </w:rPr>
        <w:t>＝v</w:t>
      </w:r>
      <w:r>
        <w:rPr>
          <w:rFonts w:ascii="Times New Roman" w:hAnsi="Times New Roman" w:eastAsia="宋体" w:cs="Times New Roman"/>
          <w:bCs/>
          <w:szCs w:val="21"/>
          <w:vertAlign w:val="subscript"/>
        </w:rPr>
        <w:t>沉淀</w:t>
      </w:r>
      <w:r>
        <w:rPr>
          <w:rFonts w:ascii="Times New Roman" w:hAnsi="Times New Roman" w:eastAsia="宋体" w:cs="Times New Roman"/>
          <w:bCs/>
          <w:szCs w:val="21"/>
        </w:rPr>
        <w:t>　溶解平衡</w:t>
      </w:r>
    </w:p>
    <w:p w14:paraId="07C49EFE">
      <w:pPr>
        <w:tabs>
          <w:tab w:val="left" w:pos="4140"/>
          <w:tab w:val="left" w:pos="7560"/>
          <w:tab w:val="left" w:pos="1530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(3)v</w:t>
      </w:r>
      <w:r>
        <w:rPr>
          <w:rFonts w:ascii="Times New Roman" w:hAnsi="Times New Roman" w:eastAsia="宋体" w:cs="Times New Roman"/>
          <w:bCs/>
          <w:szCs w:val="21"/>
          <w:vertAlign w:val="subscript"/>
        </w:rPr>
        <w:t>溶解</w:t>
      </w:r>
      <w:r>
        <w:rPr>
          <w:rFonts w:ascii="Times New Roman" w:hAnsi="Times New Roman" w:eastAsia="宋体" w:cs="Times New Roman"/>
          <w:bCs/>
          <w:szCs w:val="21"/>
        </w:rPr>
        <w:t>&lt;v</w:t>
      </w:r>
      <w:r>
        <w:rPr>
          <w:rFonts w:ascii="Times New Roman" w:hAnsi="Times New Roman" w:eastAsia="宋体" w:cs="Times New Roman"/>
          <w:bCs/>
          <w:szCs w:val="21"/>
          <w:vertAlign w:val="subscript"/>
        </w:rPr>
        <w:t>沉淀</w:t>
      </w:r>
      <w:r>
        <w:rPr>
          <w:rFonts w:ascii="Times New Roman" w:hAnsi="Times New Roman" w:eastAsia="宋体" w:cs="Times New Roman"/>
          <w:bCs/>
          <w:szCs w:val="21"/>
        </w:rPr>
        <w:t>　析出晶体</w:t>
      </w:r>
    </w:p>
    <w:p w14:paraId="1D143A63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5．生成难溶电解质的离子反应的限度：</w:t>
      </w:r>
    </w:p>
    <w:p w14:paraId="2C109FB7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(1)25 ℃时，溶解性与溶解度的关系。</w:t>
      </w:r>
    </w:p>
    <w:p w14:paraId="14CBE85B">
      <w:pPr>
        <w:tabs>
          <w:tab w:val="left" w:pos="4305"/>
        </w:tabs>
        <w:adjustRightInd w:val="0"/>
        <w:snapToGrid w:val="0"/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114300" distR="114300">
            <wp:extent cx="3576955" cy="518160"/>
            <wp:effectExtent l="0" t="0" r="4445" b="15240"/>
            <wp:docPr id="3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4"/>
                    <pic:cNvPicPr>
                      <a:picLocks noChangeAspect="1"/>
                    </pic:cNvPicPr>
                  </pic:nvPicPr>
                  <pic:blipFill>
                    <a:blip r:embed="rId8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6955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9D995D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(2)反应完全的标志。</w:t>
      </w:r>
    </w:p>
    <w:p w14:paraId="5211685D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一般情况下，当溶液中剩余离子的浓度小于</w:t>
      </w:r>
      <w:r>
        <w:rPr>
          <w:rFonts w:ascii="Times New Roman" w:hAnsi="Times New Roman" w:eastAsia="宋体" w:cs="Times New Roman"/>
          <w:color w:val="91ABDF"/>
          <w:szCs w:val="21"/>
          <w:u w:val="thick"/>
        </w:rPr>
        <w:t>1×10</w:t>
      </w:r>
      <w:r>
        <w:rPr>
          <w:rFonts w:ascii="Times New Roman" w:hAnsi="Times New Roman" w:eastAsia="宋体" w:cs="Times New Roman"/>
          <w:color w:val="91ABDF"/>
          <w:szCs w:val="21"/>
          <w:u w:val="thick"/>
          <w:vertAlign w:val="superscript"/>
        </w:rPr>
        <w:t>－5</w:t>
      </w:r>
      <w:r>
        <w:rPr>
          <w:rFonts w:ascii="Times New Roman" w:hAnsi="Times New Roman" w:eastAsia="宋体" w:cs="Times New Roman"/>
          <w:color w:val="91ABDF"/>
          <w:szCs w:val="21"/>
          <w:u w:val="thick"/>
        </w:rPr>
        <w:t>mol·L</w:t>
      </w:r>
      <w:r>
        <w:rPr>
          <w:rFonts w:ascii="Times New Roman" w:hAnsi="Times New Roman" w:eastAsia="宋体" w:cs="Times New Roman"/>
          <w:color w:val="91ABDF"/>
          <w:szCs w:val="21"/>
          <w:u w:val="thick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时，反应就达到完全。</w:t>
      </w:r>
    </w:p>
    <w:p w14:paraId="00DDA110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二、</w:t>
      </w:r>
      <w:r>
        <w:rPr>
          <w:rFonts w:ascii="Times New Roman" w:hAnsi="Times New Roman" w:eastAsia="宋体" w:cs="Times New Roman"/>
          <w:b/>
          <w:bCs/>
          <w:sz w:val="22"/>
        </w:rPr>
        <w:t>沉淀溶解平衡的应用</w:t>
      </w:r>
    </w:p>
    <w:p w14:paraId="51789E28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1.</w:t>
      </w:r>
      <w:r>
        <w:rPr>
          <w:rFonts w:ascii="Times New Roman" w:hAnsi="Times New Roman" w:eastAsia="宋体" w:cs="Times New Roman"/>
          <w:szCs w:val="21"/>
        </w:rPr>
        <w:t>沉淀的生成</w:t>
      </w:r>
    </w:p>
    <w:p w14:paraId="1B5838FB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调节pH法</w:t>
      </w:r>
    </w:p>
    <w:p w14:paraId="228EA8F6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如：除去NH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Cl溶液中的FeCl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-1174115</wp:posOffset>
            </wp:positionV>
            <wp:extent cx="7595870" cy="10684510"/>
            <wp:effectExtent l="0" t="0" r="11430" b="8890"/>
            <wp:wrapNone/>
            <wp:docPr id="3" name="图片 3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内页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杂质，可加入氨水调节pH至7～8，离子方程式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</w:p>
    <w:p w14:paraId="55F4AC8C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为</w:t>
      </w:r>
      <w:r>
        <w:rPr>
          <w:rFonts w:hint="eastAsia" w:ascii="Times New Roman" w:hAnsi="Times New Roman" w:eastAsia="宋体" w:cs="Times New Roman"/>
          <w:szCs w:val="21"/>
        </w:rPr>
        <w:t>：</w:t>
      </w:r>
      <w:r>
        <w:rPr>
          <w:rFonts w:ascii="Times New Roman" w:hAnsi="Times New Roman" w:eastAsia="宋体" w:cs="Times New Roman"/>
          <w:color w:val="91ABDF"/>
          <w:szCs w:val="21"/>
          <w:u w:val="thick"/>
        </w:rPr>
        <w:t>Fe</w:t>
      </w:r>
      <w:r>
        <w:rPr>
          <w:rFonts w:ascii="Times New Roman" w:hAnsi="Times New Roman" w:eastAsia="宋体" w:cs="Times New Roman"/>
          <w:color w:val="91ABDF"/>
          <w:szCs w:val="21"/>
          <w:u w:val="thick"/>
          <w:vertAlign w:val="superscript"/>
        </w:rPr>
        <w:t>3＋</w:t>
      </w:r>
      <w:r>
        <w:rPr>
          <w:rFonts w:ascii="Times New Roman" w:hAnsi="Times New Roman" w:eastAsia="宋体" w:cs="Times New Roman"/>
          <w:color w:val="91ABDF"/>
          <w:szCs w:val="21"/>
          <w:u w:val="thick"/>
        </w:rPr>
        <w:t>＋3NH</w:t>
      </w:r>
      <w:r>
        <w:rPr>
          <w:rFonts w:ascii="Times New Roman" w:hAnsi="Times New Roman" w:eastAsia="宋体" w:cs="Times New Roman"/>
          <w:color w:val="91ABDF"/>
          <w:szCs w:val="21"/>
          <w:u w:val="thick"/>
          <w:vertAlign w:val="subscript"/>
        </w:rPr>
        <w:t>3</w:t>
      </w:r>
      <w:r>
        <w:rPr>
          <w:rFonts w:ascii="Times New Roman" w:hAnsi="Times New Roman" w:eastAsia="宋体" w:cs="Times New Roman"/>
          <w:color w:val="91ABDF"/>
          <w:szCs w:val="21"/>
          <w:u w:val="thick"/>
        </w:rPr>
        <w:t>·H</w:t>
      </w:r>
      <w:r>
        <w:rPr>
          <w:rFonts w:ascii="Times New Roman" w:hAnsi="Times New Roman" w:eastAsia="宋体" w:cs="Times New Roman"/>
          <w:color w:val="91ABDF"/>
          <w:szCs w:val="21"/>
          <w:u w:val="thick"/>
          <w:vertAlign w:val="subscript"/>
        </w:rPr>
        <w:t>2</w:t>
      </w:r>
      <w:r>
        <w:rPr>
          <w:rFonts w:ascii="Times New Roman" w:hAnsi="Times New Roman" w:eastAsia="宋体" w:cs="Times New Roman"/>
          <w:color w:val="91ABDF"/>
          <w:szCs w:val="21"/>
          <w:u w:val="thick"/>
        </w:rPr>
        <w:t>O</w:t>
      </w:r>
      <w:r>
        <w:rPr>
          <w:rFonts w:hint="eastAsia" w:ascii="Times New Roman" w:hAnsi="Times New Roman" w:eastAsia="宋体" w:cs="Times New Roman"/>
          <w:color w:val="91ABDF"/>
          <w:spacing w:val="-16"/>
          <w:szCs w:val="21"/>
          <w:u w:val="thick"/>
        </w:rPr>
        <w:t>==</w:t>
      </w:r>
      <w:r>
        <w:rPr>
          <w:rFonts w:hint="eastAsia" w:ascii="Times New Roman" w:hAnsi="Times New Roman" w:eastAsia="宋体" w:cs="Times New Roman"/>
          <w:color w:val="91ABDF"/>
          <w:szCs w:val="21"/>
          <w:u w:val="thick"/>
        </w:rPr>
        <w:t>=</w:t>
      </w:r>
      <w:r>
        <w:rPr>
          <w:rFonts w:ascii="Times New Roman" w:hAnsi="Times New Roman" w:eastAsia="宋体" w:cs="Times New Roman"/>
          <w:color w:val="91ABDF"/>
          <w:szCs w:val="21"/>
          <w:u w:val="thick"/>
        </w:rPr>
        <w:t>Fe(OH)</w:t>
      </w:r>
      <w:r>
        <w:rPr>
          <w:rFonts w:ascii="Times New Roman" w:hAnsi="Times New Roman" w:eastAsia="宋体" w:cs="Times New Roman"/>
          <w:color w:val="91ABDF"/>
          <w:szCs w:val="21"/>
          <w:u w:val="thick"/>
          <w:vertAlign w:val="subscript"/>
        </w:rPr>
        <w:t>3</w:t>
      </w:r>
      <w:r>
        <w:rPr>
          <w:rFonts w:ascii="宋体" w:hAnsi="宋体" w:eastAsia="宋体" w:cs="Times New Roman"/>
          <w:color w:val="91ABDF"/>
          <w:szCs w:val="21"/>
          <w:u w:val="thick"/>
        </w:rPr>
        <w:t>↓</w:t>
      </w:r>
      <w:r>
        <w:rPr>
          <w:rFonts w:ascii="Times New Roman" w:hAnsi="Times New Roman" w:eastAsia="宋体" w:cs="Times New Roman"/>
          <w:color w:val="91ABDF"/>
          <w:szCs w:val="21"/>
          <w:u w:val="thick"/>
        </w:rPr>
        <w:t>＋3NH</w:t>
      </w:r>
      <w:r>
        <w:rPr>
          <w:rFonts w:ascii="Times New Roman" w:hAnsi="Times New Roman" w:eastAsia="宋体" w:cs="Times New Roman"/>
          <w:color w:val="91ABDF"/>
          <w:szCs w:val="21"/>
          <w:u w:val="thick"/>
        </w:rPr>
        <w:fldChar w:fldCharType="begin"/>
      </w:r>
      <w:r>
        <w:rPr>
          <w:rFonts w:ascii="Times New Roman" w:hAnsi="Times New Roman" w:eastAsia="宋体" w:cs="Times New Roman"/>
          <w:color w:val="91ABDF"/>
          <w:szCs w:val="21"/>
          <w:u w:val="thick"/>
        </w:rPr>
        <w:instrText xml:space="preserve">eq \o\al(</w:instrText>
      </w:r>
      <w:r>
        <w:rPr>
          <w:rFonts w:ascii="Times New Roman" w:hAnsi="Times New Roman" w:eastAsia="宋体" w:cs="Times New Roman"/>
          <w:color w:val="91ABDF"/>
          <w:szCs w:val="21"/>
          <w:u w:val="thick"/>
          <w:vertAlign w:val="superscript"/>
        </w:rPr>
        <w:instrText xml:space="preserve">＋</w:instrText>
      </w:r>
      <w:r>
        <w:rPr>
          <w:rFonts w:ascii="Times New Roman" w:hAnsi="Times New Roman" w:eastAsia="宋体" w:cs="Times New Roman"/>
          <w:color w:val="91ABDF"/>
          <w:szCs w:val="21"/>
          <w:u w:val="thick"/>
        </w:rPr>
        <w:instrText xml:space="preserve">,</w:instrText>
      </w:r>
      <w:r>
        <w:rPr>
          <w:rFonts w:ascii="Times New Roman" w:hAnsi="Times New Roman" w:eastAsia="宋体" w:cs="Times New Roman"/>
          <w:color w:val="91ABDF"/>
          <w:szCs w:val="21"/>
          <w:u w:val="thick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color w:val="91ABDF"/>
          <w:szCs w:val="21"/>
          <w:u w:val="thick"/>
        </w:rPr>
        <w:instrText xml:space="preserve">)</w:instrText>
      </w:r>
      <w:r>
        <w:rPr>
          <w:rFonts w:ascii="Times New Roman" w:hAnsi="Times New Roman" w:eastAsia="宋体" w:cs="Times New Roman"/>
          <w:color w:val="91ABDF"/>
          <w:szCs w:val="21"/>
          <w:u w:val="thick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。</w:t>
      </w:r>
    </w:p>
    <w:p w14:paraId="268C6621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沉淀剂法</w:t>
      </w:r>
    </w:p>
    <w:p w14:paraId="7336CFB6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如：用H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S沉淀Cu</w:t>
      </w:r>
      <w:r>
        <w:rPr>
          <w:rFonts w:ascii="Times New Roman" w:hAnsi="Times New Roman" w:eastAsia="宋体" w:cs="Times New Roman"/>
          <w:szCs w:val="21"/>
          <w:vertAlign w:val="superscript"/>
        </w:rPr>
        <w:t>2＋</w:t>
      </w:r>
      <w:r>
        <w:rPr>
          <w:rFonts w:ascii="Times New Roman" w:hAnsi="Times New Roman" w:eastAsia="宋体" w:cs="Times New Roman"/>
          <w:szCs w:val="21"/>
        </w:rPr>
        <w:t>，离子方程式为</w:t>
      </w:r>
      <w:r>
        <w:rPr>
          <w:rFonts w:hint="eastAsia" w:ascii="Times New Roman" w:hAnsi="Times New Roman" w:eastAsia="宋体" w:cs="Times New Roman"/>
          <w:szCs w:val="21"/>
        </w:rPr>
        <w:t>：</w:t>
      </w:r>
      <w:r>
        <w:rPr>
          <w:rFonts w:ascii="Times New Roman" w:hAnsi="Times New Roman" w:eastAsia="宋体" w:cs="Times New Roman"/>
          <w:color w:val="91ABDF"/>
          <w:szCs w:val="21"/>
          <w:u w:val="thick"/>
        </w:rPr>
        <w:t>H</w:t>
      </w:r>
      <w:r>
        <w:rPr>
          <w:rFonts w:ascii="Times New Roman" w:hAnsi="Times New Roman" w:eastAsia="宋体" w:cs="Times New Roman"/>
          <w:color w:val="91ABDF"/>
          <w:szCs w:val="21"/>
          <w:u w:val="thick"/>
          <w:vertAlign w:val="subscript"/>
        </w:rPr>
        <w:t>2</w:t>
      </w:r>
      <w:r>
        <w:rPr>
          <w:rFonts w:ascii="Times New Roman" w:hAnsi="Times New Roman" w:eastAsia="宋体" w:cs="Times New Roman"/>
          <w:color w:val="91ABDF"/>
          <w:szCs w:val="21"/>
          <w:u w:val="thick"/>
        </w:rPr>
        <w:t>S＋Cu</w:t>
      </w:r>
      <w:r>
        <w:rPr>
          <w:rFonts w:ascii="Times New Roman" w:hAnsi="Times New Roman" w:eastAsia="宋体" w:cs="Times New Roman"/>
          <w:color w:val="91ABDF"/>
          <w:szCs w:val="21"/>
          <w:u w:val="thick"/>
          <w:vertAlign w:val="superscript"/>
        </w:rPr>
        <w:t>2＋</w:t>
      </w:r>
      <w:r>
        <w:rPr>
          <w:rFonts w:hint="eastAsia" w:ascii="Times New Roman" w:hAnsi="Times New Roman" w:eastAsia="宋体" w:cs="Times New Roman"/>
          <w:color w:val="91ABDF"/>
          <w:spacing w:val="-16"/>
          <w:szCs w:val="21"/>
          <w:u w:val="thick"/>
        </w:rPr>
        <w:t>==</w:t>
      </w:r>
      <w:r>
        <w:rPr>
          <w:rFonts w:hint="eastAsia" w:ascii="Times New Roman" w:hAnsi="Times New Roman" w:eastAsia="宋体" w:cs="Times New Roman"/>
          <w:color w:val="91ABDF"/>
          <w:szCs w:val="21"/>
          <w:u w:val="thick"/>
        </w:rPr>
        <w:t>=</w:t>
      </w:r>
      <w:r>
        <w:rPr>
          <w:rFonts w:ascii="Times New Roman" w:hAnsi="Times New Roman" w:eastAsia="宋体" w:cs="Times New Roman"/>
          <w:color w:val="91ABDF"/>
          <w:szCs w:val="21"/>
          <w:u w:val="thick"/>
        </w:rPr>
        <w:t>CuS</w:t>
      </w:r>
      <w:r>
        <w:rPr>
          <w:rFonts w:ascii="宋体" w:hAnsi="宋体" w:eastAsia="宋体" w:cs="Times New Roman"/>
          <w:color w:val="91ABDF"/>
          <w:szCs w:val="21"/>
          <w:u w:val="thick"/>
        </w:rPr>
        <w:t>↓</w:t>
      </w:r>
      <w:r>
        <w:rPr>
          <w:rFonts w:ascii="Times New Roman" w:hAnsi="Times New Roman" w:eastAsia="宋体" w:cs="Times New Roman"/>
          <w:color w:val="91ABDF"/>
          <w:szCs w:val="21"/>
          <w:u w:val="thick"/>
        </w:rPr>
        <w:t>＋2H</w:t>
      </w:r>
      <w:r>
        <w:rPr>
          <w:rFonts w:ascii="Times New Roman" w:hAnsi="Times New Roman" w:eastAsia="宋体" w:cs="Times New Roman"/>
          <w:color w:val="91ABDF"/>
          <w:szCs w:val="21"/>
          <w:u w:val="thick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18CB5D26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2.</w:t>
      </w:r>
      <w:r>
        <w:rPr>
          <w:rFonts w:ascii="Times New Roman" w:hAnsi="Times New Roman" w:eastAsia="宋体" w:cs="Times New Roman"/>
          <w:szCs w:val="21"/>
        </w:rPr>
        <w:t>沉淀的溶解</w:t>
      </w:r>
    </w:p>
    <w:p w14:paraId="4CC14129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酸溶解法</w:t>
      </w:r>
    </w:p>
    <w:p w14:paraId="2CEDB13D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如：CaCO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溶于盐酸，离子方程式为</w:t>
      </w:r>
      <w:r>
        <w:rPr>
          <w:rFonts w:hint="eastAsia" w:ascii="Times New Roman" w:hAnsi="Times New Roman" w:eastAsia="宋体" w:cs="Times New Roman"/>
          <w:szCs w:val="21"/>
        </w:rPr>
        <w:t>：</w:t>
      </w:r>
      <w:r>
        <w:rPr>
          <w:rFonts w:ascii="Times New Roman" w:hAnsi="Times New Roman" w:eastAsia="宋体" w:cs="Times New Roman"/>
          <w:color w:val="91ABDF"/>
          <w:szCs w:val="21"/>
          <w:u w:val="thick"/>
        </w:rPr>
        <w:t>CaCO</w:t>
      </w:r>
      <w:r>
        <w:rPr>
          <w:rFonts w:ascii="Times New Roman" w:hAnsi="Times New Roman" w:eastAsia="宋体" w:cs="Times New Roman"/>
          <w:color w:val="91ABDF"/>
          <w:szCs w:val="21"/>
          <w:u w:val="thick"/>
          <w:vertAlign w:val="subscript"/>
        </w:rPr>
        <w:t>3</w:t>
      </w:r>
      <w:r>
        <w:rPr>
          <w:rFonts w:ascii="Times New Roman" w:hAnsi="Times New Roman" w:eastAsia="宋体" w:cs="Times New Roman"/>
          <w:color w:val="91ABDF"/>
          <w:szCs w:val="21"/>
          <w:u w:val="thick"/>
        </w:rPr>
        <w:t>＋2H</w:t>
      </w:r>
      <w:r>
        <w:rPr>
          <w:rFonts w:ascii="Times New Roman" w:hAnsi="Times New Roman" w:eastAsia="宋体" w:cs="Times New Roman"/>
          <w:color w:val="91ABDF"/>
          <w:szCs w:val="21"/>
          <w:u w:val="thick"/>
          <w:vertAlign w:val="superscript"/>
        </w:rPr>
        <w:t>＋</w:t>
      </w:r>
      <w:r>
        <w:rPr>
          <w:rFonts w:hint="eastAsia" w:ascii="Times New Roman" w:hAnsi="Times New Roman" w:eastAsia="宋体" w:cs="Times New Roman"/>
          <w:color w:val="91ABDF"/>
          <w:spacing w:val="-16"/>
          <w:szCs w:val="21"/>
          <w:u w:val="thick"/>
        </w:rPr>
        <w:t>==</w:t>
      </w:r>
      <w:r>
        <w:rPr>
          <w:rFonts w:hint="eastAsia" w:ascii="Times New Roman" w:hAnsi="Times New Roman" w:eastAsia="宋体" w:cs="Times New Roman"/>
          <w:color w:val="91ABDF"/>
          <w:szCs w:val="21"/>
          <w:u w:val="thick"/>
        </w:rPr>
        <w:t>=</w:t>
      </w:r>
      <w:r>
        <w:rPr>
          <w:rFonts w:ascii="Times New Roman" w:hAnsi="Times New Roman" w:eastAsia="宋体" w:cs="Times New Roman"/>
          <w:color w:val="91ABDF"/>
          <w:szCs w:val="21"/>
          <w:u w:val="thick"/>
        </w:rPr>
        <w:t>Ca</w:t>
      </w:r>
      <w:r>
        <w:rPr>
          <w:rFonts w:ascii="Times New Roman" w:hAnsi="Times New Roman" w:eastAsia="宋体" w:cs="Times New Roman"/>
          <w:color w:val="91ABDF"/>
          <w:szCs w:val="21"/>
          <w:u w:val="thick"/>
          <w:vertAlign w:val="superscript"/>
        </w:rPr>
        <w:t>2＋</w:t>
      </w:r>
      <w:r>
        <w:rPr>
          <w:rFonts w:ascii="Times New Roman" w:hAnsi="Times New Roman" w:eastAsia="宋体" w:cs="Times New Roman"/>
          <w:color w:val="91ABDF"/>
          <w:szCs w:val="21"/>
          <w:u w:val="thick"/>
        </w:rPr>
        <w:t>＋H</w:t>
      </w:r>
      <w:r>
        <w:rPr>
          <w:rFonts w:ascii="Times New Roman" w:hAnsi="Times New Roman" w:eastAsia="宋体" w:cs="Times New Roman"/>
          <w:color w:val="91ABDF"/>
          <w:szCs w:val="21"/>
          <w:u w:val="thick"/>
          <w:vertAlign w:val="subscript"/>
        </w:rPr>
        <w:t>2</w:t>
      </w:r>
      <w:r>
        <w:rPr>
          <w:rFonts w:ascii="Times New Roman" w:hAnsi="Times New Roman" w:eastAsia="宋体" w:cs="Times New Roman"/>
          <w:color w:val="91ABDF"/>
          <w:szCs w:val="21"/>
          <w:u w:val="thick"/>
        </w:rPr>
        <w:t>O＋CO</w:t>
      </w:r>
      <w:r>
        <w:rPr>
          <w:rFonts w:ascii="Times New Roman" w:hAnsi="Times New Roman" w:eastAsia="宋体" w:cs="Times New Roman"/>
          <w:color w:val="91ABDF"/>
          <w:szCs w:val="21"/>
          <w:u w:val="thick"/>
          <w:vertAlign w:val="subscript"/>
        </w:rPr>
        <w:t>2</w:t>
      </w:r>
      <w:r>
        <w:rPr>
          <w:rFonts w:ascii="宋体" w:hAnsi="宋体" w:eastAsia="宋体" w:cs="Times New Roman"/>
          <w:color w:val="91ABDF"/>
          <w:szCs w:val="21"/>
          <w:u w:val="thick"/>
        </w:rPr>
        <w:t>↑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35B547DA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盐溶液溶解法</w:t>
      </w:r>
    </w:p>
    <w:p w14:paraId="0692561B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如：Mg(OH)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溶于NH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Cl溶液，离子方程式为</w:t>
      </w:r>
      <w:r>
        <w:rPr>
          <w:rFonts w:hint="eastAsia" w:ascii="Times New Roman" w:hAnsi="Times New Roman" w:eastAsia="宋体" w:cs="Times New Roman"/>
          <w:szCs w:val="21"/>
        </w:rPr>
        <w:t>：</w:t>
      </w:r>
      <w:r>
        <w:rPr>
          <w:rFonts w:ascii="Times New Roman" w:hAnsi="Times New Roman" w:eastAsia="宋体" w:cs="Times New Roman"/>
          <w:color w:val="91ABDF"/>
          <w:szCs w:val="21"/>
          <w:u w:val="thick"/>
        </w:rPr>
        <w:t>Mg(OH)</w:t>
      </w:r>
      <w:r>
        <w:rPr>
          <w:rFonts w:ascii="Times New Roman" w:hAnsi="Times New Roman" w:eastAsia="宋体" w:cs="Times New Roman"/>
          <w:color w:val="91ABDF"/>
          <w:szCs w:val="21"/>
          <w:u w:val="thick"/>
          <w:vertAlign w:val="subscript"/>
        </w:rPr>
        <w:t>2</w:t>
      </w:r>
      <w:r>
        <w:rPr>
          <w:rFonts w:ascii="Times New Roman" w:hAnsi="Times New Roman" w:eastAsia="宋体" w:cs="Times New Roman"/>
          <w:color w:val="91ABDF"/>
          <w:szCs w:val="21"/>
          <w:u w:val="thick"/>
        </w:rPr>
        <w:t>＋2NH</w:t>
      </w:r>
      <w:r>
        <w:rPr>
          <w:rFonts w:ascii="Times New Roman" w:hAnsi="Times New Roman" w:eastAsia="宋体" w:cs="Times New Roman"/>
          <w:color w:val="91ABDF"/>
          <w:szCs w:val="21"/>
          <w:u w:val="thick"/>
        </w:rPr>
        <w:fldChar w:fldCharType="begin"/>
      </w:r>
      <w:r>
        <w:rPr>
          <w:rFonts w:ascii="Times New Roman" w:hAnsi="Times New Roman" w:eastAsia="宋体" w:cs="Times New Roman"/>
          <w:color w:val="91ABDF"/>
          <w:szCs w:val="21"/>
          <w:u w:val="thick"/>
        </w:rPr>
        <w:instrText xml:space="preserve">eq \o\al(</w:instrText>
      </w:r>
      <w:r>
        <w:rPr>
          <w:rFonts w:ascii="Times New Roman" w:hAnsi="Times New Roman" w:eastAsia="宋体" w:cs="Times New Roman"/>
          <w:color w:val="91ABDF"/>
          <w:szCs w:val="21"/>
          <w:u w:val="thick"/>
          <w:vertAlign w:val="superscript"/>
        </w:rPr>
        <w:instrText xml:space="preserve">＋</w:instrText>
      </w:r>
      <w:r>
        <w:rPr>
          <w:rFonts w:ascii="Times New Roman" w:hAnsi="Times New Roman" w:eastAsia="宋体" w:cs="Times New Roman"/>
          <w:color w:val="91ABDF"/>
          <w:szCs w:val="21"/>
          <w:u w:val="thick"/>
        </w:rPr>
        <w:instrText xml:space="preserve">,</w:instrText>
      </w:r>
      <w:r>
        <w:rPr>
          <w:rFonts w:ascii="Times New Roman" w:hAnsi="Times New Roman" w:eastAsia="宋体" w:cs="Times New Roman"/>
          <w:color w:val="91ABDF"/>
          <w:szCs w:val="21"/>
          <w:u w:val="thick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color w:val="91ABDF"/>
          <w:szCs w:val="21"/>
          <w:u w:val="thick"/>
        </w:rPr>
        <w:instrText xml:space="preserve">)</w:instrText>
      </w:r>
      <w:r>
        <w:rPr>
          <w:rFonts w:ascii="Times New Roman" w:hAnsi="Times New Roman" w:eastAsia="宋体" w:cs="Times New Roman"/>
          <w:color w:val="91ABDF"/>
          <w:szCs w:val="21"/>
          <w:u w:val="thick"/>
        </w:rPr>
        <w:fldChar w:fldCharType="end"/>
      </w:r>
      <w:r>
        <w:rPr>
          <w:rFonts w:hint="eastAsia" w:ascii="Times New Roman" w:hAnsi="Times New Roman" w:eastAsia="宋体" w:cs="Times New Roman"/>
          <w:color w:val="91ABDF"/>
          <w:spacing w:val="-16"/>
          <w:szCs w:val="21"/>
          <w:u w:val="thick"/>
        </w:rPr>
        <w:t>==</w:t>
      </w:r>
      <w:r>
        <w:rPr>
          <w:rFonts w:hint="eastAsia" w:ascii="Times New Roman" w:hAnsi="Times New Roman" w:eastAsia="宋体" w:cs="Times New Roman"/>
          <w:color w:val="91ABDF"/>
          <w:szCs w:val="21"/>
          <w:u w:val="thick"/>
        </w:rPr>
        <w:t>=</w:t>
      </w:r>
      <w:r>
        <w:rPr>
          <w:rFonts w:ascii="Times New Roman" w:hAnsi="Times New Roman" w:eastAsia="宋体" w:cs="Times New Roman"/>
          <w:color w:val="91ABDF"/>
          <w:szCs w:val="21"/>
          <w:u w:val="thick"/>
        </w:rPr>
        <w:t>Mg</w:t>
      </w:r>
      <w:r>
        <w:rPr>
          <w:rFonts w:ascii="Times New Roman" w:hAnsi="Times New Roman" w:eastAsia="宋体" w:cs="Times New Roman"/>
          <w:color w:val="91ABDF"/>
          <w:szCs w:val="21"/>
          <w:u w:val="thick"/>
          <w:vertAlign w:val="superscript"/>
        </w:rPr>
        <w:t>2＋</w:t>
      </w:r>
      <w:r>
        <w:rPr>
          <w:rFonts w:ascii="Times New Roman" w:hAnsi="Times New Roman" w:eastAsia="宋体" w:cs="Times New Roman"/>
          <w:color w:val="91ABDF"/>
          <w:szCs w:val="21"/>
          <w:u w:val="thick"/>
        </w:rPr>
        <w:t>＋2NH</w:t>
      </w:r>
      <w:r>
        <w:rPr>
          <w:rFonts w:ascii="Times New Roman" w:hAnsi="Times New Roman" w:eastAsia="宋体" w:cs="Times New Roman"/>
          <w:color w:val="91ABDF"/>
          <w:szCs w:val="21"/>
          <w:u w:val="thick"/>
          <w:vertAlign w:val="subscript"/>
        </w:rPr>
        <w:t>3</w:t>
      </w:r>
      <w:r>
        <w:rPr>
          <w:rFonts w:ascii="Times New Roman" w:hAnsi="Times New Roman" w:eastAsia="宋体" w:cs="Times New Roman"/>
          <w:color w:val="91ABDF"/>
          <w:szCs w:val="21"/>
          <w:u w:val="thick"/>
        </w:rPr>
        <w:t>·H</w:t>
      </w:r>
      <w:r>
        <w:rPr>
          <w:rFonts w:ascii="Times New Roman" w:hAnsi="Times New Roman" w:eastAsia="宋体" w:cs="Times New Roman"/>
          <w:color w:val="91ABDF"/>
          <w:szCs w:val="21"/>
          <w:u w:val="thick"/>
          <w:vertAlign w:val="subscript"/>
        </w:rPr>
        <w:t>2</w:t>
      </w:r>
      <w:r>
        <w:rPr>
          <w:rFonts w:ascii="Times New Roman" w:hAnsi="Times New Roman" w:eastAsia="宋体" w:cs="Times New Roman"/>
          <w:color w:val="91ABDF"/>
          <w:szCs w:val="21"/>
          <w:u w:val="thick"/>
        </w:rPr>
        <w:t>O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36FE1078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③</w:t>
      </w:r>
      <w:r>
        <w:rPr>
          <w:rFonts w:ascii="Times New Roman" w:hAnsi="Times New Roman" w:eastAsia="宋体" w:cs="Times New Roman"/>
          <w:szCs w:val="21"/>
        </w:rPr>
        <w:t>氧化还原溶解法</w:t>
      </w:r>
    </w:p>
    <w:p w14:paraId="4BCA8A15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如：不溶于盐酸的硫化物Ag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S溶于稀HNO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34203433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3.</w:t>
      </w:r>
      <w:r>
        <w:rPr>
          <w:rFonts w:ascii="Times New Roman" w:hAnsi="Times New Roman" w:eastAsia="宋体" w:cs="Times New Roman"/>
          <w:szCs w:val="21"/>
        </w:rPr>
        <w:t>沉淀的转化</w:t>
      </w:r>
    </w:p>
    <w:p w14:paraId="527F69EF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实质：</w:t>
      </w:r>
      <w:r>
        <w:rPr>
          <w:rFonts w:ascii="Times New Roman" w:hAnsi="Times New Roman" w:eastAsia="宋体" w:cs="Times New Roman"/>
          <w:color w:val="91ABDF"/>
          <w:szCs w:val="21"/>
          <w:u w:val="thick"/>
        </w:rPr>
        <w:t>沉淀溶解平衡</w:t>
      </w:r>
      <w:r>
        <w:rPr>
          <w:rFonts w:ascii="Times New Roman" w:hAnsi="Times New Roman" w:eastAsia="宋体" w:cs="Times New Roman"/>
          <w:szCs w:val="21"/>
        </w:rPr>
        <w:t>的移动(沉淀的溶解度差别</w:t>
      </w:r>
      <w:r>
        <w:rPr>
          <w:rFonts w:ascii="Times New Roman" w:hAnsi="Times New Roman" w:eastAsia="宋体" w:cs="Times New Roman"/>
          <w:color w:val="91ABDF"/>
          <w:szCs w:val="21"/>
          <w:u w:val="thick"/>
        </w:rPr>
        <w:t>越大</w:t>
      </w:r>
      <w:r>
        <w:rPr>
          <w:rFonts w:ascii="Times New Roman" w:hAnsi="Times New Roman" w:eastAsia="宋体" w:cs="Times New Roman"/>
          <w:szCs w:val="21"/>
        </w:rPr>
        <w:t>，越容易转化)。</w:t>
      </w:r>
    </w:p>
    <w:p w14:paraId="7D0FD4C1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如：AgNO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溶液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\o(</w:instrText>
      </w:r>
      <w:r>
        <w:rPr>
          <w:rFonts w:ascii="宋体" w:hAnsi="宋体" w:eastAsia="宋体" w:cs="Times New Roman"/>
          <w:spacing w:val="-27"/>
          <w:szCs w:val="21"/>
        </w:rPr>
        <w:instrText xml:space="preserve">――</w:instrText>
      </w:r>
      <w:r>
        <w:rPr>
          <w:rFonts w:ascii="宋体" w:hAnsi="宋体" w:eastAsia="宋体" w:cs="Times New Roman"/>
          <w:szCs w:val="21"/>
        </w:rPr>
        <w:instrText xml:space="preserve">→</w:instrText>
      </w:r>
      <w:r>
        <w:rPr>
          <w:rFonts w:ascii="Times New Roman" w:hAnsi="Times New Roman" w:eastAsia="宋体" w:cs="Times New Roman"/>
          <w:szCs w:val="21"/>
        </w:rPr>
        <w:instrText xml:space="preserve">,\s\up7(</w:instrText>
      </w:r>
      <w:r>
        <w:rPr>
          <w:rFonts w:ascii="Times New Roman" w:hAnsi="Times New Roman" w:eastAsia="宋体" w:cs="Times New Roman"/>
          <w:sz w:val="15"/>
          <w:szCs w:val="21"/>
        </w:rPr>
        <w:instrText xml:space="preserve">NaCl</w:instrText>
      </w:r>
      <w:r>
        <w:rPr>
          <w:rFonts w:ascii="Times New Roman" w:hAnsi="Times New Roman" w:eastAsia="宋体" w:cs="Times New Roman"/>
          <w:szCs w:val="21"/>
        </w:rPr>
        <w:instrText xml:space="preserve">))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AgCl(白色沉淀)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\o(</w:instrText>
      </w:r>
      <w:r>
        <w:rPr>
          <w:rFonts w:ascii="宋体" w:hAnsi="宋体" w:eastAsia="宋体" w:cs="Times New Roman"/>
          <w:spacing w:val="-27"/>
          <w:szCs w:val="21"/>
        </w:rPr>
        <w:instrText xml:space="preserve">――</w:instrText>
      </w:r>
      <w:r>
        <w:rPr>
          <w:rFonts w:ascii="宋体" w:hAnsi="宋体" w:eastAsia="宋体" w:cs="Times New Roman"/>
          <w:szCs w:val="21"/>
        </w:rPr>
        <w:instrText xml:space="preserve">→</w:instrText>
      </w:r>
      <w:r>
        <w:rPr>
          <w:rFonts w:ascii="Times New Roman" w:hAnsi="Times New Roman" w:eastAsia="宋体" w:cs="Times New Roman"/>
          <w:szCs w:val="21"/>
        </w:rPr>
        <w:instrText xml:space="preserve">,\s\up7(</w:instrText>
      </w:r>
      <w:r>
        <w:rPr>
          <w:rFonts w:ascii="Times New Roman" w:hAnsi="Times New Roman" w:eastAsia="宋体" w:cs="Times New Roman"/>
          <w:sz w:val="15"/>
          <w:szCs w:val="21"/>
        </w:rPr>
        <w:instrText xml:space="preserve">NaBr</w:instrText>
      </w:r>
      <w:r>
        <w:rPr>
          <w:rFonts w:ascii="Times New Roman" w:hAnsi="Times New Roman" w:eastAsia="宋体" w:cs="Times New Roman"/>
          <w:szCs w:val="21"/>
        </w:rPr>
        <w:instrText xml:space="preserve">))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AgBr(浅黄色沉淀)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\o(</w:instrText>
      </w:r>
      <w:r>
        <w:rPr>
          <w:rFonts w:ascii="宋体" w:hAnsi="宋体" w:eastAsia="宋体" w:cs="Times New Roman"/>
          <w:spacing w:val="-27"/>
          <w:szCs w:val="21"/>
        </w:rPr>
        <w:instrText xml:space="preserve">――</w:instrText>
      </w:r>
      <w:r>
        <w:rPr>
          <w:rFonts w:ascii="宋体" w:hAnsi="宋体" w:eastAsia="宋体" w:cs="Times New Roman"/>
          <w:szCs w:val="21"/>
        </w:rPr>
        <w:instrText xml:space="preserve">→</w:instrText>
      </w:r>
      <w:r>
        <w:rPr>
          <w:rFonts w:ascii="Times New Roman" w:hAnsi="Times New Roman" w:eastAsia="宋体" w:cs="Times New Roman"/>
          <w:szCs w:val="21"/>
        </w:rPr>
        <w:instrText xml:space="preserve">,\s\up7(</w:instrText>
      </w:r>
      <w:r>
        <w:rPr>
          <w:rFonts w:ascii="Times New Roman" w:hAnsi="Times New Roman" w:eastAsia="宋体" w:cs="Times New Roman"/>
          <w:sz w:val="15"/>
          <w:szCs w:val="21"/>
        </w:rPr>
        <w:instrText xml:space="preserve">NaI</w:instrText>
      </w:r>
      <w:r>
        <w:rPr>
          <w:rFonts w:ascii="Times New Roman" w:hAnsi="Times New Roman" w:eastAsia="宋体" w:cs="Times New Roman"/>
          <w:szCs w:val="21"/>
        </w:rPr>
        <w:instrText xml:space="preserve">))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AgI(黄色沉淀)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\o(</w:instrText>
      </w:r>
      <w:r>
        <w:rPr>
          <w:rFonts w:ascii="宋体" w:hAnsi="宋体" w:eastAsia="宋体" w:cs="Times New Roman"/>
          <w:spacing w:val="-27"/>
          <w:szCs w:val="21"/>
        </w:rPr>
        <w:instrText xml:space="preserve">――</w:instrText>
      </w:r>
      <w:r>
        <w:rPr>
          <w:rFonts w:ascii="宋体" w:hAnsi="宋体" w:eastAsia="宋体" w:cs="Times New Roman"/>
          <w:szCs w:val="21"/>
        </w:rPr>
        <w:instrText xml:space="preserve">→</w:instrText>
      </w:r>
      <w:r>
        <w:rPr>
          <w:rFonts w:ascii="Times New Roman" w:hAnsi="Times New Roman" w:eastAsia="宋体" w:cs="Times New Roman"/>
          <w:szCs w:val="21"/>
        </w:rPr>
        <w:instrText xml:space="preserve">,\s\up7(</w:instrText>
      </w:r>
      <w:r>
        <w:rPr>
          <w:rFonts w:ascii="Times New Roman" w:hAnsi="Times New Roman" w:eastAsia="宋体" w:cs="Times New Roman"/>
          <w:sz w:val="15"/>
          <w:szCs w:val="21"/>
        </w:rPr>
        <w:instrText xml:space="preserve">Na</w:instrText>
      </w:r>
      <w:r>
        <w:rPr>
          <w:rFonts w:ascii="Times New Roman" w:hAnsi="Times New Roman" w:eastAsia="宋体" w:cs="Times New Roman"/>
          <w:sz w:val="15"/>
          <w:szCs w:val="21"/>
          <w:vertAlign w:val="subscript"/>
        </w:rPr>
        <w:instrText xml:space="preserve">2</w:instrText>
      </w:r>
      <w:r>
        <w:rPr>
          <w:rFonts w:ascii="Times New Roman" w:hAnsi="Times New Roman" w:eastAsia="宋体" w:cs="Times New Roman"/>
          <w:sz w:val="15"/>
          <w:szCs w:val="21"/>
        </w:rPr>
        <w:instrText xml:space="preserve">S</w:instrText>
      </w:r>
      <w:r>
        <w:rPr>
          <w:rFonts w:ascii="Times New Roman" w:hAnsi="Times New Roman" w:eastAsia="宋体" w:cs="Times New Roman"/>
          <w:szCs w:val="21"/>
        </w:rPr>
        <w:instrText xml:space="preserve">))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Ag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S(黑色沉淀)。</w:t>
      </w:r>
    </w:p>
    <w:p w14:paraId="6361F5A2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应用</w:t>
      </w:r>
    </w:p>
    <w:p w14:paraId="40193C11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pict>
          <v:line id="直接连接符 39" o:spid="_x0000_s2054" o:spt="20" style="position:absolute;left:0pt;margin-left:1.1pt;margin-top:37.35pt;height:0pt;width:55.5pt;z-index:251661312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">
            <v:path arrowok="t"/>
            <v:fill focussize="0,0"/>
            <v:stroke weight="1pt" color="#4874CB" joinstyle="miter"/>
            <v:imagedata o:title=""/>
            <o:lock v:ext="edit"/>
          </v:line>
        </w:pict>
      </w:r>
      <w:r>
        <w:pict>
          <v:line id="直接连接符 37" o:spid="_x0000_s2053" o:spt="20" style="position:absolute;left:0pt;flip:y;margin-left:310.1pt;margin-top:15.35pt;height:0.5pt;width:159pt;z-index:251660288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">
            <v:path arrowok="t"/>
            <v:fill focussize="0,0"/>
            <v:stroke weight="1pt" color="#4874CB" joinstyle="miter"/>
            <v:imagedata o:title=""/>
            <o:lock v:ext="edit"/>
          </v:line>
        </w:pict>
      </w:r>
      <w:r>
        <w:rPr>
          <w:rFonts w:ascii="Times New Roman" w:hAnsi="Times New Roman" w:eastAsia="宋体" w:cs="Times New Roman"/>
          <w:szCs w:val="21"/>
        </w:rPr>
        <w:t>a．锅炉除垢：将CaSO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转化为易溶于酸的CaCO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，离子方程式为</w:t>
      </w:r>
      <w:r>
        <w:rPr>
          <w:rFonts w:hint="eastAsia" w:ascii="Times New Roman" w:hAnsi="Times New Roman" w:eastAsia="宋体" w:cs="Times New Roman"/>
          <w:szCs w:val="21"/>
        </w:rPr>
        <w:t>：</w:t>
      </w:r>
      <w:r>
        <w:rPr>
          <w:rFonts w:ascii="Times New Roman" w:hAnsi="Times New Roman" w:eastAsia="宋体" w:cs="Times New Roman"/>
          <w:color w:val="91ABDF"/>
          <w:szCs w:val="21"/>
        </w:rPr>
        <w:t>CaSO</w:t>
      </w:r>
      <w:r>
        <w:rPr>
          <w:rFonts w:ascii="Times New Roman" w:hAnsi="Times New Roman" w:eastAsia="宋体" w:cs="Times New Roman"/>
          <w:color w:val="91ABDF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color w:val="91ABDF"/>
          <w:szCs w:val="21"/>
        </w:rPr>
        <w:t>(s)＋CO</w:t>
      </w:r>
      <w:r>
        <w:rPr>
          <w:rFonts w:ascii="Times New Roman" w:hAnsi="Times New Roman" w:eastAsia="宋体" w:cs="Times New Roman"/>
          <w:color w:val="91ABDF"/>
          <w:szCs w:val="21"/>
        </w:rPr>
        <w:fldChar w:fldCharType="begin"/>
      </w:r>
      <w:r>
        <w:rPr>
          <w:rFonts w:ascii="Times New Roman" w:hAnsi="Times New Roman" w:eastAsia="宋体" w:cs="Times New Roman"/>
          <w:color w:val="91ABDF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color w:val="91ABDF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color w:val="91ABDF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color w:val="91ABDF"/>
          <w:szCs w:val="21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color w:val="91ABDF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color w:val="91ABDF"/>
          <w:szCs w:val="21"/>
        </w:rPr>
        <w:fldChar w:fldCharType="end"/>
      </w:r>
      <w:r>
        <w:rPr>
          <w:rFonts w:ascii="Times New Roman" w:hAnsi="Times New Roman" w:eastAsia="宋体" w:cs="Times New Roman"/>
          <w:color w:val="91ABDF"/>
          <w:szCs w:val="21"/>
        </w:rPr>
        <w:t>(aq)</w:t>
      </w:r>
      <w:r>
        <w:rPr>
          <w:rFonts w:ascii="宋体" w:hAnsi="宋体" w:eastAsia="宋体" w:cs="Courier New"/>
          <w:color w:val="91ABDF"/>
          <w:sz w:val="24"/>
          <w:szCs w:val="24"/>
        </w:rPr>
        <w:t xml:space="preserve"> </w:t>
      </w:r>
      <w:r>
        <w:rPr>
          <w:rFonts w:ascii="宋体" w:hAnsi="宋体" w:eastAsia="宋体" w:cs="Courier New"/>
          <w:color w:val="91ABDF"/>
          <w:sz w:val="24"/>
          <w:szCs w:val="24"/>
        </w:rPr>
        <w:drawing>
          <wp:inline distT="0" distB="0" distL="0" distR="0">
            <wp:extent cx="283210" cy="104140"/>
            <wp:effectExtent l="0" t="0" r="2540" b="10160"/>
            <wp:docPr id="35" name="图片 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210" cy="104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91ABDF"/>
          <w:szCs w:val="21"/>
        </w:rPr>
        <w:t>CaCO</w:t>
      </w:r>
      <w:r>
        <w:rPr>
          <w:rFonts w:ascii="Times New Roman" w:hAnsi="Times New Roman" w:eastAsia="宋体" w:cs="Times New Roman"/>
          <w:color w:val="91ABDF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color w:val="91ABDF"/>
          <w:szCs w:val="21"/>
        </w:rPr>
        <w:t>(s)＋SO</w:t>
      </w:r>
      <w:r>
        <w:rPr>
          <w:rFonts w:ascii="Times New Roman" w:hAnsi="Times New Roman" w:eastAsia="宋体" w:cs="Times New Roman"/>
          <w:color w:val="91ABDF"/>
          <w:szCs w:val="21"/>
        </w:rPr>
        <w:fldChar w:fldCharType="begin"/>
      </w:r>
      <w:r>
        <w:rPr>
          <w:rFonts w:ascii="Times New Roman" w:hAnsi="Times New Roman" w:eastAsia="宋体" w:cs="Times New Roman"/>
          <w:color w:val="91ABDF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color w:val="91ABDF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color w:val="91ABDF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color w:val="91ABDF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color w:val="91ABDF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color w:val="91ABDF"/>
          <w:szCs w:val="21"/>
        </w:rPr>
        <w:fldChar w:fldCharType="end"/>
      </w:r>
      <w:r>
        <w:rPr>
          <w:rFonts w:ascii="Times New Roman" w:hAnsi="Times New Roman" w:eastAsia="宋体" w:cs="Times New Roman"/>
          <w:color w:val="91ABDF"/>
          <w:szCs w:val="21"/>
        </w:rPr>
        <w:t>(aq)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23222774">
      <w:pPr>
        <w:snapToGrid w:val="0"/>
        <w:spacing w:line="360" w:lineRule="auto"/>
        <w:rPr>
          <w:rFonts w:ascii="Times New Roman" w:hAnsi="Times New Roman" w:eastAsia="宋体" w:cs="Times New Roman"/>
          <w:b/>
          <w:bCs/>
          <w:color w:val="91ABDF"/>
          <w:sz w:val="24"/>
          <w:szCs w:val="24"/>
          <w:u w:val="thick"/>
        </w:rPr>
      </w:pPr>
      <w:r>
        <w:rPr>
          <w:rFonts w:ascii="Times New Roman" w:hAnsi="Times New Roman" w:eastAsia="宋体" w:cs="Times New Roman"/>
          <w:szCs w:val="21"/>
        </w:rPr>
        <w:t>b．矿物转化：CuSO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溶液遇PbS转化为CuS，离子方程式为</w:t>
      </w:r>
      <w:r>
        <w:rPr>
          <w:rFonts w:hint="eastAsia" w:ascii="Times New Roman" w:hAnsi="Times New Roman" w:eastAsia="宋体" w:cs="Times New Roman"/>
          <w:szCs w:val="21"/>
        </w:rPr>
        <w:t>：</w:t>
      </w:r>
      <w:r>
        <w:rPr>
          <w:rFonts w:ascii="Times New Roman" w:hAnsi="Times New Roman" w:eastAsia="宋体" w:cs="Times New Roman"/>
          <w:color w:val="91ABDF"/>
          <w:szCs w:val="21"/>
          <w:u w:val="thick"/>
        </w:rPr>
        <w:t>Cu</w:t>
      </w:r>
      <w:r>
        <w:rPr>
          <w:rFonts w:ascii="Times New Roman" w:hAnsi="Times New Roman" w:eastAsia="宋体" w:cs="Times New Roman"/>
          <w:color w:val="91ABDF"/>
          <w:szCs w:val="21"/>
          <w:u w:val="thick"/>
          <w:vertAlign w:val="superscript"/>
        </w:rPr>
        <w:t>2＋</w:t>
      </w:r>
      <w:r>
        <w:rPr>
          <w:rFonts w:ascii="Times New Roman" w:hAnsi="Times New Roman" w:eastAsia="宋体" w:cs="Times New Roman"/>
          <w:color w:val="91ABDF"/>
          <w:szCs w:val="21"/>
          <w:u w:val="thick"/>
        </w:rPr>
        <w:t>(aq)＋PbS(s)</w:t>
      </w:r>
      <w:r>
        <w:rPr>
          <w:rFonts w:ascii="宋体" w:hAnsi="宋体" w:eastAsia="宋体" w:cs="Courier New"/>
          <w:color w:val="91ABDF"/>
          <w:sz w:val="24"/>
          <w:szCs w:val="24"/>
          <w:u w:val="thick"/>
        </w:rPr>
        <w:t xml:space="preserve"> </w:t>
      </w:r>
      <w:r>
        <w:rPr>
          <w:rFonts w:ascii="宋体" w:hAnsi="宋体" w:eastAsia="宋体" w:cs="Courier New"/>
          <w:color w:val="91ABDF"/>
          <w:sz w:val="24"/>
          <w:szCs w:val="24"/>
          <w:u w:val="thick"/>
        </w:rPr>
        <w:drawing>
          <wp:inline distT="0" distB="0" distL="0" distR="0">
            <wp:extent cx="283210" cy="104140"/>
            <wp:effectExtent l="0" t="0" r="2540" b="10160"/>
            <wp:docPr id="36" name="图片 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210" cy="104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91ABDF"/>
          <w:szCs w:val="21"/>
          <w:u w:val="thick"/>
        </w:rPr>
        <w:t>CuS(s)＋Pb</w:t>
      </w:r>
      <w:r>
        <w:rPr>
          <w:rFonts w:ascii="Times New Roman" w:hAnsi="Times New Roman" w:eastAsia="宋体" w:cs="Times New Roman"/>
          <w:color w:val="91ABDF"/>
          <w:szCs w:val="21"/>
          <w:u w:val="thick"/>
          <w:vertAlign w:val="superscript"/>
        </w:rPr>
        <w:t>2＋</w:t>
      </w:r>
      <w:r>
        <w:rPr>
          <w:rFonts w:ascii="Times New Roman" w:hAnsi="Times New Roman" w:eastAsia="宋体" w:cs="Times New Roman"/>
          <w:color w:val="91ABDF"/>
          <w:szCs w:val="21"/>
          <w:u w:val="thick"/>
        </w:rPr>
        <w:t>(aq)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7050475B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正误辨析</w:t>
      </w:r>
    </w:p>
    <w:p w14:paraId="52CE736E">
      <w:pPr>
        <w:tabs>
          <w:tab w:val="left" w:pos="4253"/>
        </w:tabs>
        <w:spacing w:line="420" w:lineRule="exact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（1）</w:t>
      </w:r>
      <w:r>
        <w:rPr>
          <w:rFonts w:ascii="Times New Roman" w:hAnsi="Times New Roman" w:eastAsia="宋体" w:cs="Times New Roman"/>
          <w:szCs w:val="21"/>
        </w:rPr>
        <w:t xml:space="preserve">升高温度，沉淀溶解平衡一定正向移动   (  </w:t>
      </w:r>
      <w:r>
        <w:rPr>
          <w:rFonts w:ascii="Times New Roman" w:hAnsi="Times New Roman" w:eastAsia="宋体" w:cs="Times New Roman"/>
          <w:color w:val="91ABDF"/>
          <w:szCs w:val="21"/>
        </w:rPr>
        <w:t xml:space="preserve"> ×</w:t>
      </w:r>
      <w:r>
        <w:rPr>
          <w:rFonts w:ascii="Times New Roman" w:hAnsi="Times New Roman" w:eastAsia="宋体" w:cs="Times New Roman"/>
          <w:szCs w:val="21"/>
        </w:rPr>
        <w:t xml:space="preserve">   )</w:t>
      </w:r>
    </w:p>
    <w:p w14:paraId="552F2916">
      <w:pPr>
        <w:tabs>
          <w:tab w:val="left" w:pos="4253"/>
        </w:tabs>
        <w:spacing w:line="420" w:lineRule="exact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（2）</w:t>
      </w:r>
      <w:r>
        <w:rPr>
          <w:rFonts w:ascii="Times New Roman" w:hAnsi="Times New Roman" w:eastAsia="宋体" w:cs="Times New Roman"/>
          <w:szCs w:val="21"/>
        </w:rPr>
        <w:t>洗涤沉淀时，洗涤次数越多越好。    (　</w:t>
      </w:r>
      <w:r>
        <w:rPr>
          <w:rFonts w:ascii="Times New Roman" w:hAnsi="Times New Roman" w:eastAsia="宋体" w:cs="Times New Roman"/>
          <w:color w:val="91ABDF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　)</w:t>
      </w:r>
    </w:p>
    <w:p w14:paraId="0D4820F0">
      <w:pPr>
        <w:tabs>
          <w:tab w:val="left" w:pos="4253"/>
        </w:tabs>
        <w:spacing w:line="420" w:lineRule="exact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</w:t>
      </w:r>
      <w:r>
        <w:rPr>
          <w:rFonts w:hint="eastAsia" w:ascii="Times New Roman" w:hAnsi="Times New Roman" w:eastAsia="宋体" w:cs="Times New Roman"/>
          <w:szCs w:val="21"/>
        </w:rPr>
        <w:t>3</w:t>
      </w:r>
      <w:r>
        <w:rPr>
          <w:rFonts w:ascii="Times New Roman" w:hAnsi="Times New Roman" w:eastAsia="宋体" w:cs="Times New Roman"/>
          <w:szCs w:val="21"/>
        </w:rPr>
        <w:t xml:space="preserve">）向AgCl沉淀中加入NaCl固体，AgCl沉淀的溶解度不变   ( </w:t>
      </w:r>
      <w:r>
        <w:rPr>
          <w:rFonts w:ascii="Times New Roman" w:hAnsi="Times New Roman" w:eastAsia="宋体" w:cs="Times New Roman"/>
          <w:color w:val="0000FF"/>
          <w:szCs w:val="21"/>
        </w:rPr>
        <w:t xml:space="preserve"> </w:t>
      </w:r>
      <w:r>
        <w:rPr>
          <w:rFonts w:ascii="Times New Roman" w:hAnsi="Times New Roman" w:eastAsia="宋体" w:cs="Times New Roman"/>
          <w:color w:val="91ABDF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232458E7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（4）</w:t>
      </w:r>
      <w:r>
        <w:rPr>
          <w:rFonts w:ascii="Times New Roman" w:hAnsi="Times New Roman" w:eastAsia="宋体" w:cs="Times New Roman"/>
          <w:szCs w:val="21"/>
        </w:rPr>
        <w:t>除去MgCl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溶液中的Fe</w:t>
      </w:r>
      <w:r>
        <w:rPr>
          <w:rFonts w:ascii="Times New Roman" w:hAnsi="Times New Roman" w:eastAsia="宋体" w:cs="Times New Roman"/>
          <w:szCs w:val="21"/>
          <w:vertAlign w:val="superscript"/>
        </w:rPr>
        <w:t>2+</w:t>
      </w:r>
      <w:r>
        <w:rPr>
          <w:rFonts w:ascii="Times New Roman" w:hAnsi="Times New Roman" w:eastAsia="宋体" w:cs="Times New Roman"/>
          <w:szCs w:val="21"/>
        </w:rPr>
        <w:t>,先加入双氧水,再加入MgO即可。</w:t>
      </w:r>
      <w:r>
        <w:rPr>
          <w:rFonts w:ascii="Times New Roman" w:hAnsi="Times New Roman" w:eastAsia="宋体" w:cs="Times New Roman"/>
          <w:szCs w:val="21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91ABDF"/>
          <w:szCs w:val="21"/>
        </w:rPr>
        <w:t>√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447354DC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（5）</w:t>
      </w:r>
      <w:r>
        <w:rPr>
          <w:rFonts w:ascii="Times New Roman" w:hAnsi="Times New Roman" w:eastAsia="宋体" w:cs="Times New Roman"/>
          <w:szCs w:val="21"/>
        </w:rPr>
        <w:t>沉淀的转化只能由难溶的转化为更难溶的。(　</w:t>
      </w:r>
      <w:r>
        <w:rPr>
          <w:rFonts w:ascii="Times New Roman" w:hAnsi="Times New Roman" w:eastAsia="宋体" w:cs="Times New Roman"/>
          <w:color w:val="91ABDF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178B4594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（6）</w:t>
      </w:r>
      <w:r>
        <w:rPr>
          <w:rFonts w:ascii="Times New Roman" w:hAnsi="Times New Roman" w:eastAsia="宋体" w:cs="Times New Roman"/>
          <w:szCs w:val="21"/>
        </w:rPr>
        <w:t>溶解度小的沉淀不能转化为溶解度比其大的沉淀。</w:t>
      </w:r>
      <w:r>
        <w:rPr>
          <w:rFonts w:ascii="Times New Roman" w:hAnsi="Times New Roman" w:eastAsia="宋体" w:cs="Times New Roman"/>
          <w:szCs w:val="21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91ABDF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54F90772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（7）</w:t>
      </w:r>
      <w:r>
        <w:rPr>
          <w:rFonts w:ascii="Times New Roman" w:hAnsi="Times New Roman" w:eastAsia="宋体" w:cs="Times New Roman"/>
          <w:szCs w:val="21"/>
        </w:rPr>
        <w:t>可用FeS除去废水中的Hg</w:t>
      </w:r>
      <w:r>
        <w:rPr>
          <w:rFonts w:ascii="Times New Roman" w:hAnsi="Times New Roman" w:eastAsia="宋体" w:cs="Times New Roman"/>
          <w:szCs w:val="21"/>
          <w:vertAlign w:val="superscript"/>
        </w:rPr>
        <w:t>2+</w:t>
      </w:r>
      <w:r>
        <w:rPr>
          <w:rFonts w:ascii="Times New Roman" w:hAnsi="Times New Roman" w:eastAsia="宋体" w:cs="Times New Roman"/>
          <w:szCs w:val="21"/>
        </w:rPr>
        <w:t>、Ag</w:t>
      </w:r>
      <w:r>
        <w:rPr>
          <w:rFonts w:ascii="Times New Roman" w:hAnsi="Times New Roman" w:eastAsia="宋体" w:cs="Times New Roman"/>
          <w:szCs w:val="21"/>
          <w:vertAlign w:val="superscript"/>
        </w:rPr>
        <w:t>+</w:t>
      </w:r>
      <w:r>
        <w:rPr>
          <w:rFonts w:ascii="Times New Roman" w:hAnsi="Times New Roman" w:eastAsia="宋体" w:cs="Times New Roman"/>
          <w:szCs w:val="21"/>
        </w:rPr>
        <w:t>等,是因为HgS、Ag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S比FeS更难溶。</w:t>
      </w:r>
      <w:r>
        <w:rPr>
          <w:rFonts w:ascii="Times New Roman" w:hAnsi="Times New Roman" w:eastAsia="宋体" w:cs="Times New Roman"/>
          <w:szCs w:val="21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91ABDF"/>
          <w:szCs w:val="21"/>
        </w:rPr>
        <w:t>√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709F8198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（8）</w:t>
      </w:r>
      <w:r>
        <w:rPr>
          <w:rFonts w:ascii="Times New Roman" w:hAnsi="Times New Roman" w:eastAsia="宋体" w:cs="Times New Roman"/>
          <w:szCs w:val="21"/>
        </w:rPr>
        <w:t>验证Fe(OH)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的溶解度小于Mg(OH)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,可将FeCl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溶液加入Mg(OH)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悬浊液中,振荡,可观察到沉淀由白色变为红褐色。</w:t>
      </w:r>
      <w:r>
        <w:rPr>
          <w:rFonts w:ascii="Times New Roman" w:hAnsi="Times New Roman" w:eastAsia="宋体" w:cs="Times New Roman"/>
          <w:szCs w:val="21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91ABDF"/>
          <w:szCs w:val="21"/>
        </w:rPr>
        <w:t>√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323B949D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</w:p>
    <w:p w14:paraId="33971ABE">
      <w:pPr>
        <w:rPr>
          <w:rFonts w:hint="eastAsia" w:ascii="Times New Roman" w:hAnsi="Times New Roman" w:eastAsia="宋体" w:cs="Times New Roman"/>
          <w:b/>
          <w:bCs/>
          <w:sz w:val="2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E47135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4FBDC4">
    <w:pPr>
      <w:pStyle w:val="12"/>
      <w:pBdr>
        <w:bottom w:val="single" w:color="auto" w:sz="4" w:space="1"/>
      </w:pBdr>
      <w:jc w:val="right"/>
      <w:rPr>
        <w:rFonts w:hint="eastAsia"/>
      </w:rPr>
    </w:pPr>
    <w:r>
      <w:rPr>
        <w:rFonts w:hint="eastAsia"/>
      </w:rPr>
      <w:t>配套《高中必刷题 化学 选择性必修1 化学反应原理 LK》使用</w:t>
    </w:r>
  </w:p>
  <w:p w14:paraId="5A8F0F37">
    <w:pPr>
      <w:pStyle w:val="12"/>
      <w:rPr>
        <w:rFonts w:hint="eastAsia"/>
      </w:rPr>
    </w:pPr>
    <w:bookmarkStart w:id="0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1" name="图片 1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内页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o:title="1f7f41eadd1a609cd69613e89db4866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9F18D7"/>
    <w:rsid w:val="00053FEB"/>
    <w:rsid w:val="00155F19"/>
    <w:rsid w:val="004316A2"/>
    <w:rsid w:val="007E24E9"/>
    <w:rsid w:val="009F18D7"/>
    <w:rsid w:val="009F3A5A"/>
    <w:rsid w:val="00A27BC7"/>
    <w:rsid w:val="00A65F3E"/>
    <w:rsid w:val="00A973C2"/>
    <w:rsid w:val="00CB5554"/>
    <w:rsid w:val="00EB614F"/>
    <w:rsid w:val="3B6859BE"/>
    <w:rsid w:val="511C53C4"/>
    <w:rsid w:val="5F3C3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  <customShpInfo spid="_x0000_s2055"/>
    <customShpInfo spid="_x0000_s2054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935</Words>
  <Characters>1233</Characters>
  <Lines>38</Lines>
  <Paragraphs>52</Paragraphs>
  <TotalTime>0</TotalTime>
  <ScaleCrop>false</ScaleCrop>
  <LinksUpToDate>false</LinksUpToDate>
  <CharactersWithSpaces>1279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2025-04-02T01:50:00Z</dcterms:created>
  <dc:creator>1224348813@qq.com</dc:creator>
  <cp:lastModifiedBy>刘岩</cp:lastModifiedBy>
  <dcterms:modified xsi:type="dcterms:W3CDTF">2026-03-20T02:26:58Z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FA398656F4164E7F88B23ED4069E6F13_12</vt:lpwstr>
  </property>
</Properties>
</file>